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780b9b8a22af765331db0b81ba262f0f999f9f2"/>
    <w:p>
      <w:pPr>
        <w:pStyle w:val="Heading2"/>
      </w:pPr>
      <w:r>
        <w:t xml:space="preserve">Parecer Jurídico Interno – Estratégia Processual</w:t>
      </w:r>
    </w:p>
    <w:p>
      <w:pPr>
        <w:pStyle w:val="FirstParagraph"/>
      </w:pPr>
      <w:r>
        <w:rPr>
          <w:b/>
          <w:bCs/>
        </w:rPr>
        <w:t xml:space="preserve">Processo n.º:</w:t>
      </w:r>
      <w:r>
        <w:t xml:space="preserve"> </w:t>
      </w:r>
      <w:r>
        <w:t xml:space="preserve">1234/24.5T8LSB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15 de março de 2024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XYZ – Serviços de Tecnologia, Lda.</w:t>
      </w:r>
      <w:r>
        <w:br/>
      </w:r>
      <w:r>
        <w:t xml:space="preserve">    NIF: 514 321 987</w:t>
      </w:r>
      <w:r>
        <w:br/>
      </w:r>
      <w:r>
        <w:t xml:space="preserve">    Morada: Avenida das Forças Armadas, nº 45, 1600‑021 Lisboa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ABC – Consultoria Empresarial, Lda.</w:t>
      </w:r>
      <w:r>
        <w:br/>
      </w:r>
      <w:r>
        <w:t xml:space="preserve">    NIF: 508 764 132</w:t>
      </w:r>
      <w:r>
        <w:br/>
      </w:r>
      <w:r>
        <w:t xml:space="preserve">    Morada: Rua da Boavista, nº 123, 4100‑158 Porto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João Silva – OA 12345, Dra. Maria Fernandes – OA 67890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da 2.ª Vara Cível do Tribunal Judicial da Comarca de Lisboa</w:t>
      </w:r>
    </w:p>
    <w:p>
      <w:r>
        <w:pict>
          <v:rect style="width:0;height:1.5pt" o:hralign="center" o:hrstd="t" o:hr="t"/>
        </w:pict>
      </w:r>
    </w:p>
    <w:bookmarkStart w:id="9" w:name="i.-contexto-fático"/>
    <w:p>
      <w:pPr>
        <w:pStyle w:val="Heading3"/>
      </w:pPr>
      <w:r>
        <w:t xml:space="preserve">I. Contexto Fático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Contrato de prestação de serviços</w:t>
      </w:r>
      <w:r>
        <w:t xml:space="preserve"> </w:t>
      </w:r>
      <w:r>
        <w:t xml:space="preserve">celebrado em 10 de janeiro de 2023, com vigência de 24 (vinte e quatro) meses, pelo qual a XYZ – Serviços de Tecnologia, Lda. (doravante</w:t>
      </w:r>
      <w:r>
        <w:t xml:space="preserve"> </w:t>
      </w:r>
      <w:r>
        <w:rPr>
          <w:i/>
          <w:iCs/>
        </w:rPr>
        <w:t xml:space="preserve">Requerente</w:t>
      </w:r>
      <w:r>
        <w:t xml:space="preserve">) se comprometeu a desenvolver e manter o sistema informático de gestão empresarial da ABC – Consultoria Empresarial, Lda. (doravante</w:t>
      </w:r>
      <w:r>
        <w:t xml:space="preserve"> </w:t>
      </w:r>
      <w:r>
        <w:rPr>
          <w:i/>
          <w:iCs/>
        </w:rPr>
        <w:t xml:space="preserve">Requerido</w:t>
      </w:r>
      <w:r>
        <w:t xml:space="preserve">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Obrigações principais da Requerida:</w:t>
      </w:r>
    </w:p>
    <w:p>
      <w:pPr>
        <w:pStyle w:val="Compact"/>
        <w:numPr>
          <w:ilvl w:val="1"/>
          <w:numId w:val="1002"/>
        </w:numPr>
      </w:pPr>
      <w:r>
        <w:t xml:space="preserve">Entregar o software funcional até 30 de junho de 2023.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Garantir suporte técnico 24 h/7 dias, com tempo máximo de resposta de 4 horas.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Efetuar os pagamentos mensais de € 12 500,00, mediante fatura, até ao dia 5 de cada mês.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Incumprimentos constatados: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Atraso na entrega</w:t>
      </w:r>
      <w:r>
        <w:t xml:space="preserve">: o software foi entregue apenas a 15 de outubro de 2023, com funcionalidades críticas ainda por implementar.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Deficiência no suporte</w:t>
      </w:r>
      <w:r>
        <w:t xml:space="preserve">: registo de 12 (doze) incidentes críticos não resolvidos no prazo contractual, provocando paragem da atividade da Requerente.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Incumprimento de pagamentos</w:t>
      </w:r>
      <w:r>
        <w:t xml:space="preserve">: a Requerida deixou de pagar as faturas referentes a julho, agosto e setembro de 2023 (total de € 37 500,00).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Consequências:</w:t>
      </w:r>
    </w:p>
    <w:p>
      <w:pPr>
        <w:pStyle w:val="Compact"/>
        <w:numPr>
          <w:ilvl w:val="1"/>
          <w:numId w:val="1004"/>
        </w:numPr>
      </w:pPr>
      <w:r>
        <w:t xml:space="preserve">Perda de receitas estimada em € 85 000,00 decorrente da impossibilidade de prestar serviços a terceiros.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Danos reputacionais e custos adicionais de contratação de empresa concorrente para regularizar o sistema (valor de € 22 000,00).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Pagamentos antecipados</w:t>
      </w:r>
      <w:r>
        <w:t xml:space="preserve">: a Requerente recebeu, em 5 de fevereiro de 2023, a quantia de € 25 000,00 a título de adiantamento, que permanece não reembolsada.</w:t>
      </w:r>
    </w:p>
    <w:p>
      <w:r>
        <w:pict>
          <v:rect style="width:0;height:1.5pt" o:hralign="center" o:hrstd="t" o:hr="t"/>
        </w:pict>
      </w:r>
    </w:p>
    <w:bookmarkEnd w:id="9"/>
    <w:bookmarkStart w:id="10" w:name="ii.-análise-jurídica"/>
    <w:p>
      <w:pPr>
        <w:pStyle w:val="Heading3"/>
      </w:pPr>
      <w:r>
        <w:t xml:space="preserve">II. Análise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241"/>
        <w:gridCol w:w="2839"/>
        <w:gridCol w:w="2839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Fundamentação</w:t>
            </w:r>
          </w:p>
        </w:tc>
        <w:tc>
          <w:tcPr/>
          <w:p>
            <w:pPr>
              <w:pStyle w:val="Compact"/>
            </w:pPr>
            <w:r>
              <w:t xml:space="preserve">Artigos relevantes</w:t>
            </w:r>
          </w:p>
        </w:tc>
        <w:tc>
          <w:tcPr/>
          <w:p>
            <w:pPr>
              <w:pStyle w:val="Compact"/>
            </w:pPr>
            <w:r>
              <w:t xml:space="preserve">Aplicação ao caso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Incumprimento grave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CC, art.º 483.º</w:t>
            </w:r>
            <w:r>
              <w:t xml:space="preserve"> </w:t>
            </w:r>
            <w:r>
              <w:t xml:space="preserve">– “O incumprimento grave autoriza a resolução do contrato.”</w:t>
            </w:r>
          </w:p>
        </w:tc>
        <w:tc>
          <w:tcPr/>
          <w:p>
            <w:pPr>
              <w:pStyle w:val="Compact"/>
            </w:pPr>
            <w:r>
              <w:t xml:space="preserve">Atraso de mais de 9 meses na entrega e falhas reiteradas no suporte constituem incumprimento grave.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Direito à resolução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CC, art.º 474.º</w:t>
            </w:r>
            <w:r>
              <w:t xml:space="preserve"> </w:t>
            </w:r>
            <w:r>
              <w:t xml:space="preserve">– “O contrato pode ser resolvido por acordo ou por decisão judicial.”</w:t>
            </w:r>
          </w:p>
        </w:tc>
        <w:tc>
          <w:tcPr/>
          <w:p>
            <w:pPr>
              <w:pStyle w:val="Compact"/>
            </w:pPr>
            <w:r>
              <w:t xml:space="preserve">A Resolução pode ser requerida judicialmente, com base no incumprimento grave.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por perdas e danos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CC, arts.º 483.º, 485.º</w:t>
            </w:r>
            <w:r>
              <w:t xml:space="preserve"> </w:t>
            </w:r>
            <w:r>
              <w:t xml:space="preserve">– “A parte lesada tem direito a indemnização pelos prejuízos sofridos.”</w:t>
            </w:r>
          </w:p>
        </w:tc>
        <w:tc>
          <w:tcPr/>
          <w:p>
            <w:pPr>
              <w:pStyle w:val="Compact"/>
            </w:pPr>
            <w:r>
              <w:t xml:space="preserve">A Requerente tem direito a ser indemnizada pelos prejuízos efetivamente provados (perda de receitas, custos de substituição, etc.).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Tutela de urgência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CPC, arts.º 294.º e 295.º</w:t>
            </w:r>
            <w:r>
              <w:t xml:space="preserve"> </w:t>
            </w:r>
            <w:r>
              <w:t xml:space="preserve">– “Medidas cautelares para assegurar a eficácia da decisão.”</w:t>
            </w:r>
          </w:p>
        </w:tc>
        <w:tc>
          <w:tcPr/>
          <w:p>
            <w:pPr>
              <w:pStyle w:val="Compact"/>
            </w:pPr>
            <w:r>
              <w:t xml:space="preserve">Pedido de tutela de urgência para a</w:t>
            </w:r>
            <w:r>
              <w:t xml:space="preserve"> </w:t>
            </w:r>
            <w:r>
              <w:rPr>
                <w:b/>
                <w:bCs/>
              </w:rPr>
              <w:t xml:space="preserve">suspensão dos pagamentos futuros</w:t>
            </w:r>
            <w:r>
              <w:t xml:space="preserve"> </w:t>
            </w:r>
            <w:r>
              <w:t xml:space="preserve">e</w:t>
            </w:r>
            <w:r>
              <w:t xml:space="preserve"> </w:t>
            </w:r>
            <w:r>
              <w:rPr>
                <w:b/>
                <w:bCs/>
              </w:rPr>
              <w:t xml:space="preserve">conservação dos bens</w:t>
            </w:r>
            <w:r>
              <w:t xml:space="preserve"> </w:t>
            </w:r>
            <w:r>
              <w:t xml:space="preserve">da Requerida, bem como</w:t>
            </w:r>
            <w:r>
              <w:t xml:space="preserve"> </w:t>
            </w:r>
            <w:r>
              <w:rPr>
                <w:b/>
                <w:bCs/>
              </w:rPr>
              <w:t xml:space="preserve">levantamento de penhor</w:t>
            </w:r>
            <w:r>
              <w:t xml:space="preserve"> </w:t>
            </w:r>
            <w:r>
              <w:t xml:space="preserve">sobre contas bancárias.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Restituição de pagamentos antecipados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CC, art.º 950.º</w:t>
            </w:r>
            <w:r>
              <w:t xml:space="preserve"> </w:t>
            </w:r>
            <w:r>
              <w:t xml:space="preserve">– “Em caso de resolução, devolvem‑se as quantias pagas antecipadamente.”</w:t>
            </w:r>
          </w:p>
        </w:tc>
        <w:tc>
          <w:tcPr/>
          <w:p>
            <w:pPr>
              <w:pStyle w:val="Compact"/>
            </w:pPr>
            <w:r>
              <w:t xml:space="preserve">O adiantamento de € 25 000,00 deve ser restituído.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Juros de mora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CC, art.º 474.º, n.º 2</w:t>
            </w:r>
            <w:r>
              <w:t xml:space="preserve"> </w:t>
            </w:r>
            <w:r>
              <w:t xml:space="preserve">– “Os juros de mora incidem a partir da mora.”</w:t>
            </w:r>
          </w:p>
        </w:tc>
        <w:tc>
          <w:tcPr/>
          <w:p>
            <w:pPr>
              <w:pStyle w:val="Compact"/>
            </w:pPr>
            <w:r>
              <w:t xml:space="preserve">Aplicar juros de mora à dívida de € 37 500,00 e ao valor a restituir, à taxa legal (4 % ao ano) até a data de pagamento.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iii.-estratégia-processual"/>
    <w:p>
      <w:pPr>
        <w:pStyle w:val="Heading3"/>
      </w:pPr>
      <w:r>
        <w:t xml:space="preserve">III. Estratégia Processual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Petição Inicial</w:t>
      </w:r>
      <w:r>
        <w:t xml:space="preserve"> </w:t>
      </w:r>
      <w:r>
        <w:t xml:space="preserve">– Redigir e apresentar a</w:t>
      </w:r>
      <w:r>
        <w:t xml:space="preserve"> </w:t>
      </w:r>
      <w:r>
        <w:rPr>
          <w:b/>
          <w:bCs/>
        </w:rPr>
        <w:t xml:space="preserve">ação declarativa de resolução</w:t>
      </w:r>
      <w:r>
        <w:t xml:space="preserve"> </w:t>
      </w:r>
      <w:r>
        <w:t xml:space="preserve">do contrato, cumulada com pedido de indemnização e restituição de valores.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Pedidos de tutela de urgência</w:t>
      </w:r>
      <w:r>
        <w:t xml:space="preserve"> </w:t>
      </w:r>
      <w:r>
        <w:t xml:space="preserve">(art.º 294.º CPC):</w:t>
      </w:r>
    </w:p>
    <w:p>
      <w:pPr>
        <w:pStyle w:val="Compact"/>
        <w:numPr>
          <w:ilvl w:val="1"/>
          <w:numId w:val="1006"/>
        </w:numPr>
      </w:pPr>
      <w:r>
        <w:rPr>
          <w:b/>
          <w:bCs/>
        </w:rPr>
        <w:t xml:space="preserve">a) Suspensão de todos os pagamentos</w:t>
      </w:r>
      <w:r>
        <w:t xml:space="preserve"> </w:t>
      </w:r>
      <w:r>
        <w:t xml:space="preserve">que a Requerente ainda tenha de efetuar ao Requerido, até decisão final.</w:t>
      </w:r>
      <w:r>
        <w:br/>
      </w:r>
    </w:p>
    <w:p>
      <w:pPr>
        <w:pStyle w:val="Compact"/>
        <w:numPr>
          <w:ilvl w:val="1"/>
          <w:numId w:val="1006"/>
        </w:numPr>
      </w:pPr>
      <w:r>
        <w:rPr>
          <w:b/>
          <w:bCs/>
        </w:rPr>
        <w:t xml:space="preserve">b) Arresto de bens</w:t>
      </w:r>
      <w:r>
        <w:t xml:space="preserve"> </w:t>
      </w:r>
      <w:r>
        <w:t xml:space="preserve">da Requerida (contas bancárias, veículos de empresa) no valor mínimo de € 150 000,00, a garantir a execução da eventual condenação.</w:t>
      </w:r>
      <w:r>
        <w:br/>
      </w:r>
    </w:p>
    <w:p>
      <w:pPr>
        <w:pStyle w:val="Compact"/>
        <w:numPr>
          <w:ilvl w:val="1"/>
          <w:numId w:val="1006"/>
        </w:numPr>
      </w:pPr>
      <w:r>
        <w:rPr>
          <w:b/>
          <w:bCs/>
        </w:rPr>
        <w:t xml:space="preserve">c) Obrigação de fazer</w:t>
      </w:r>
      <w:r>
        <w:t xml:space="preserve"> </w:t>
      </w:r>
      <w:r>
        <w:t xml:space="preserve">para que a Requerida proceda à entrega imediata de todas as funcionalidades pendentes, sob pena de multa diária de € 2 000,00.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Provas a produzir:</w:t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Contratos e aditivos</w:t>
      </w:r>
      <w:r>
        <w:t xml:space="preserve"> </w:t>
      </w:r>
      <w:r>
        <w:t xml:space="preserve">(cópia autenticada).</w:t>
      </w:r>
      <w:r>
        <w:br/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Faturas e comprovativos de pagamento</w:t>
      </w:r>
      <w:r>
        <w:t xml:space="preserve"> </w:t>
      </w:r>
      <w:r>
        <w:t xml:space="preserve">(incluindo o adiantamento).</w:t>
      </w:r>
      <w:r>
        <w:br/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Registos de incidentes de suporte</w:t>
      </w:r>
      <w:r>
        <w:t xml:space="preserve"> </w:t>
      </w:r>
      <w:r>
        <w:t xml:space="preserve">(tickets, e‑mails, relatórios de downtime).</w:t>
      </w:r>
      <w:r>
        <w:br/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Laudos periciais</w:t>
      </w:r>
      <w:r>
        <w:t xml:space="preserve"> </w:t>
      </w:r>
      <w:r>
        <w:t xml:space="preserve">de auditoria informática para quantificar a perda de receitas e o custo da substituição.</w:t>
      </w:r>
      <w:r>
        <w:br/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Testemunhos</w:t>
      </w:r>
      <w:r>
        <w:t xml:space="preserve"> </w:t>
      </w:r>
      <w:r>
        <w:t xml:space="preserve">de gestores da Requerente e de clientes afetados.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Calendário processual proposto: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Etapa</w:t>
            </w:r>
          </w:p>
        </w:tc>
        <w:tc>
          <w:tcPr/>
          <w:p>
            <w:pPr>
              <w:pStyle w:val="Compact"/>
            </w:pPr>
            <w:r>
              <w:t xml:space="preserve">Prazo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Depósito da petição inicial</w:t>
            </w:r>
          </w:p>
        </w:tc>
        <w:tc>
          <w:tcPr/>
          <w:p>
            <w:pPr>
              <w:pStyle w:val="Compact"/>
            </w:pPr>
            <w:r>
              <w:t xml:space="preserve">20 de março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Pedido de tutela de urgência (cautelar)</w:t>
            </w:r>
          </w:p>
        </w:tc>
        <w:tc>
          <w:tcPr/>
          <w:p>
            <w:pPr>
              <w:pStyle w:val="Compact"/>
            </w:pPr>
            <w:r>
              <w:t xml:space="preserve">22 de março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Audiência de julgamento da tutela</w:t>
            </w:r>
          </w:p>
        </w:tc>
        <w:tc>
          <w:tcPr/>
          <w:p>
            <w:pPr>
              <w:pStyle w:val="Compact"/>
            </w:pPr>
            <w:r>
              <w:t xml:space="preserve">5 de abril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Produção de prova documental</w:t>
            </w:r>
          </w:p>
        </w:tc>
        <w:tc>
          <w:tcPr/>
          <w:p>
            <w:pPr>
              <w:pStyle w:val="Compact"/>
            </w:pPr>
            <w:r>
              <w:t xml:space="preserve">15 de abril a 30 de maio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Perícia informática</w:t>
            </w:r>
          </w:p>
        </w:tc>
        <w:tc>
          <w:tcPr/>
          <w:p>
            <w:pPr>
              <w:pStyle w:val="Compact"/>
            </w:pPr>
            <w:r>
              <w:t xml:space="preserve">10 de junho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Audiência de instrução</w:t>
            </w:r>
          </w:p>
        </w:tc>
        <w:tc>
          <w:tcPr/>
          <w:p>
            <w:pPr>
              <w:pStyle w:val="Compact"/>
            </w:pPr>
            <w:r>
              <w:t xml:space="preserve">20 de julho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Sentença</w:t>
            </w:r>
          </w:p>
        </w:tc>
        <w:tc>
          <w:tcPr/>
          <w:p>
            <w:pPr>
              <w:pStyle w:val="Compact"/>
            </w:pPr>
            <w:r>
              <w:t xml:space="preserve">15 de agosto de 2024</w:t>
            </w:r>
          </w:p>
        </w:tc>
      </w:tr>
    </w:tbl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Risco de reconvenção</w:t>
      </w:r>
      <w:r>
        <w:t xml:space="preserve"> </w:t>
      </w:r>
      <w:r>
        <w:t xml:space="preserve">– Preparar defesa para eventual reconvenção da Requerida, argumentando a</w:t>
      </w:r>
      <w:r>
        <w:t xml:space="preserve"> </w:t>
      </w:r>
      <w:r>
        <w:rPr>
          <w:b/>
          <w:bCs/>
        </w:rPr>
        <w:t xml:space="preserve">inadimplemento prévio</w:t>
      </w:r>
      <w:r>
        <w:t xml:space="preserve"> </w:t>
      </w:r>
      <w:r>
        <w:t xml:space="preserve">da Requerente (ex.: falta de fornecimento de requisitos técnicos) e, caso exista, requerer</w:t>
      </w:r>
      <w:r>
        <w:t xml:space="preserve"> </w:t>
      </w:r>
      <w:r>
        <w:rPr>
          <w:b/>
          <w:bCs/>
        </w:rPr>
        <w:t xml:space="preserve">compensação parcial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1"/>
    <w:bookmarkStart w:id="12" w:name="X0053951ac886aeebd4c3f00d1e1e17151aa5a41"/>
    <w:p>
      <w:pPr>
        <w:pStyle w:val="Heading3"/>
      </w:pPr>
      <w:r>
        <w:t xml:space="preserve">IV. Pedidos (a serem formulados na petição)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3168"/>
        <w:gridCol w:w="31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  <w:tc>
          <w:tcPr/>
          <w:p>
            <w:pPr>
              <w:pStyle w:val="Compact"/>
            </w:pPr>
            <w:r>
              <w:t xml:space="preserve">Valor estimado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 Declaração de resolução</w:t>
            </w:r>
            <w:r>
              <w:t xml:space="preserve"> </w:t>
            </w:r>
            <w:r>
              <w:t xml:space="preserve">do contrato de prestação de serviços.</w:t>
            </w:r>
          </w:p>
        </w:tc>
        <w:tc>
          <w:tcPr/>
          <w:p>
            <w:pPr>
              <w:pStyle w:val="Compact"/>
            </w:pPr>
            <w:r>
              <w:t xml:space="preserve">CC, art.º 483.º (incumprimento grave).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 Indemnização por perdas e danos</w:t>
            </w:r>
            <w:r>
              <w:t xml:space="preserve"> </w:t>
            </w:r>
            <w:r>
              <w:t xml:space="preserve">– perda de receitas (€ 85 000,00) + custos de substituição (€ 22 000,00).</w:t>
            </w:r>
          </w:p>
        </w:tc>
        <w:tc>
          <w:tcPr/>
          <w:p>
            <w:pPr>
              <w:pStyle w:val="Compact"/>
            </w:pPr>
            <w:r>
              <w:t xml:space="preserve">CC, arts.º 483.º, 485.º.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€ 107 000,00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 Restituição do adiantamento</w:t>
            </w:r>
            <w:r>
              <w:t xml:space="preserve"> </w:t>
            </w:r>
            <w:r>
              <w:t xml:space="preserve">recebido em 05/02/2023.</w:t>
            </w:r>
          </w:p>
        </w:tc>
        <w:tc>
          <w:tcPr/>
          <w:p>
            <w:pPr>
              <w:pStyle w:val="Compact"/>
            </w:pPr>
            <w:r>
              <w:t xml:space="preserve">CC, art.º 950.º.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€ 25 000,00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 Pagamento das faturas em atraso</w:t>
            </w:r>
            <w:r>
              <w:t xml:space="preserve"> </w:t>
            </w:r>
            <w:r>
              <w:t xml:space="preserve">(julho‑setembro/2023).</w:t>
            </w:r>
          </w:p>
        </w:tc>
        <w:tc>
          <w:tcPr/>
          <w:p>
            <w:pPr>
              <w:pStyle w:val="Compact"/>
            </w:pPr>
            <w:r>
              <w:t xml:space="preserve">CC, art.º 474.º.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€ 37 500,00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 Juros de mora</w:t>
            </w:r>
            <w:r>
              <w:t xml:space="preserve"> </w:t>
            </w:r>
            <w:r>
              <w:t xml:space="preserve">à taxa legal (4 % ao ano) a contar da data de mora até pagamento.</w:t>
            </w:r>
          </w:p>
        </w:tc>
        <w:tc>
          <w:tcPr/>
          <w:p>
            <w:pPr>
              <w:pStyle w:val="Compact"/>
            </w:pPr>
            <w:r>
              <w:t xml:space="preserve">CC, art.º 474.º, n.º 2.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≈ € 3 200,00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6. Custas processuais e honorários de advogado</w:t>
            </w:r>
            <w:r>
              <w:t xml:space="preserve"> </w:t>
            </w:r>
            <w:r>
              <w:t xml:space="preserve">(art.º 21.º CPC).</w:t>
            </w:r>
          </w:p>
        </w:tc>
        <w:tc>
          <w:tcPr/>
          <w:p>
            <w:pPr>
              <w:pStyle w:val="Compact"/>
            </w:pPr>
            <w:r>
              <w:t xml:space="preserve">CPC, art.º 21.º.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€ 5 000,00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7. Tutela de urgência</w:t>
            </w:r>
            <w:r>
              <w:t xml:space="preserve"> </w:t>
            </w:r>
            <w:r>
              <w:t xml:space="preserve">– arresto, suspensão de pagamentos e obrigação de fazer, com multa diária.</w:t>
            </w:r>
          </w:p>
        </w:tc>
        <w:tc>
          <w:tcPr/>
          <w:p>
            <w:pPr>
              <w:pStyle w:val="Compact"/>
            </w:pPr>
            <w:r>
              <w:t xml:space="preserve">CPC, arts.º 294.º, 295.º.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estimado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€ 197 700,00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v.-cálculo-da-indemnização"/>
    <w:p>
      <w:pPr>
        <w:pStyle w:val="Heading3"/>
      </w:pPr>
      <w:r>
        <w:t xml:space="preserve">V. Cálculo da Indemnização</w:t>
      </w:r>
    </w:p>
    <w:p>
      <w:pPr>
        <w:pStyle w:val="SourceCode"/>
      </w:pPr>
      <w:r>
        <w:rPr>
          <w:rStyle w:val="PreprocessorTok"/>
        </w:rPr>
        <w:t xml:space="preserve">|</w:t>
      </w:r>
      <w:r>
        <w:rPr>
          <w:rStyle w:val="NormalTok"/>
        </w:rPr>
        <w:t xml:space="preserve"> Item                           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Valor (€)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Base legal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|-----------------------------------|-----------|------------|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Perda de receitas (12 meses)   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85 000,00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CC, art.º 483.º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Custos de substituição (software)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22 000,00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CC, art.º 485.º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Pagamentos em atraso (3 faturas)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37 500,00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CC, art.º 474.º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Adiantamento a restituir        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25 000,00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CC, art.º 950.º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Juros de mora (4 % a.a.)       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3 200,00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CC, art.º 474.º, n.º 2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Custas e honorários              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5 000,00 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CPC, art.º 21.º </w:t>
      </w:r>
      <w:r>
        <w:rPr>
          <w:rStyle w:val="PreprocessorTok"/>
        </w:rPr>
        <w:t xml:space="preserve">|</w:t>
      </w:r>
      <w:r>
        <w:br/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**Total**                         | **197 700,00** </w:t>
      </w:r>
      <w:r>
        <w:rPr>
          <w:rStyle w:val="PreprocessorTok"/>
        </w:rPr>
        <w:t xml:space="preserve">|</w:t>
      </w:r>
      <w:r>
        <w:rPr>
          <w:rStyle w:val="NormalTok"/>
        </w:rPr>
        <w:t xml:space="preserve"> — </w:t>
      </w:r>
      <w:r>
        <w:rPr>
          <w:rStyle w:val="PreprocessorTok"/>
        </w:rPr>
        <w:t xml:space="preserve">|</w:t>
      </w:r>
    </w:p>
    <w:p>
      <w:pPr>
        <w:pStyle w:val="FirstParagraph"/>
      </w:pPr>
      <w:r>
        <w:rPr>
          <w:i/>
          <w:iCs/>
        </w:rPr>
        <w:t xml:space="preserve">Obs.: O cálculo dos juros de mora considera o período de mora de 1 de outubro de 2023 até 15 de agosto de 2024 (10,5 meses).</w:t>
      </w:r>
    </w:p>
    <w:p>
      <w:r>
        <w:pict>
          <v:rect style="width:0;height:1.5pt" o:hralign="center" o:hrstd="t" o:hr="t"/>
        </w:pict>
      </w:r>
    </w:p>
    <w:bookmarkEnd w:id="13"/>
    <w:bookmarkStart w:id="14" w:name="vi.-conclusão"/>
    <w:p>
      <w:pPr>
        <w:pStyle w:val="Heading3"/>
      </w:pPr>
      <w:r>
        <w:t xml:space="preserve">VI. Conclusão</w:t>
      </w:r>
    </w:p>
    <w:p>
      <w:pPr>
        <w:pStyle w:val="FirstParagraph"/>
      </w:pPr>
      <w:r>
        <w:t xml:space="preserve">A estratégia proposta visa</w:t>
      </w:r>
      <w:r>
        <w:t xml:space="preserve"> </w:t>
      </w:r>
      <w:r>
        <w:rPr>
          <w:b/>
          <w:bCs/>
        </w:rPr>
        <w:t xml:space="preserve">assegurar a rápida resolução do contrato</w:t>
      </w:r>
      <w:r>
        <w:t xml:space="preserve">,</w:t>
      </w:r>
      <w:r>
        <w:t xml:space="preserve"> </w:t>
      </w:r>
      <w:r>
        <w:rPr>
          <w:b/>
          <w:bCs/>
        </w:rPr>
        <w:t xml:space="preserve">garantir a efetividade da decisão judicial</w:t>
      </w:r>
      <w:r>
        <w:t xml:space="preserve"> </w:t>
      </w:r>
      <w:r>
        <w:t xml:space="preserve">através de medidas cautelares e</w:t>
      </w:r>
      <w:r>
        <w:t xml:space="preserve"> </w:t>
      </w:r>
      <w:r>
        <w:rPr>
          <w:b/>
          <w:bCs/>
        </w:rPr>
        <w:t xml:space="preserve">maximizar a recuperação dos valores devidos</w:t>
      </w:r>
      <w:r>
        <w:t xml:space="preserve">, bem como a</w:t>
      </w:r>
      <w:r>
        <w:t xml:space="preserve"> </w:t>
      </w:r>
      <w:r>
        <w:rPr>
          <w:b/>
          <w:bCs/>
        </w:rPr>
        <w:t xml:space="preserve">indemnização integral pelos prejuízos sofridos</w:t>
      </w:r>
      <w:r>
        <w:t xml:space="preserve">.</w:t>
      </w:r>
    </w:p>
    <w:p>
      <w:pPr>
        <w:pStyle w:val="BodyText"/>
      </w:pPr>
      <w:r>
        <w:t xml:space="preserve">Recomenda‑se a</w:t>
      </w:r>
      <w:r>
        <w:t xml:space="preserve"> </w:t>
      </w:r>
      <w:r>
        <w:rPr>
          <w:b/>
          <w:bCs/>
        </w:rPr>
        <w:t xml:space="preserve">imediata preparação da petição inicial</w:t>
      </w:r>
      <w:r>
        <w:t xml:space="preserve"> </w:t>
      </w:r>
      <w:r>
        <w:t xml:space="preserve">e a</w:t>
      </w:r>
      <w:r>
        <w:t xml:space="preserve"> </w:t>
      </w:r>
      <w:r>
        <w:rPr>
          <w:b/>
          <w:bCs/>
        </w:rPr>
        <w:t xml:space="preserve">solicitação de tutela de urgência</w:t>
      </w:r>
      <w:r>
        <w:t xml:space="preserve"> </w:t>
      </w:r>
      <w:r>
        <w:t xml:space="preserve">dentro dos prazos legais, bem como a</w:t>
      </w:r>
      <w:r>
        <w:t xml:space="preserve"> </w:t>
      </w:r>
      <w:r>
        <w:rPr>
          <w:b/>
          <w:bCs/>
        </w:rPr>
        <w:t xml:space="preserve">constituição de equipa pericial</w:t>
      </w:r>
      <w:r>
        <w:t xml:space="preserve"> </w:t>
      </w:r>
      <w:r>
        <w:t xml:space="preserve">especializada em auditoria de sistemas de informação.</w:t>
      </w:r>
    </w:p>
    <w:p>
      <w:pPr>
        <w:pStyle w:val="BlockText"/>
      </w:pPr>
      <w:r>
        <w:rPr>
          <w:b/>
          <w:bCs/>
        </w:rPr>
        <w:t xml:space="preserve">Nota interna:</w:t>
      </w:r>
      <w:r>
        <w:t xml:space="preserve"> </w:t>
      </w:r>
      <w:r>
        <w:t xml:space="preserve">Manter a comunicação constante com a diretoria da XYZ – Serviços de Tecnologia, Lda., para aprovação de eventual acordo extrajudicial que possa ser vantajoso, caso a Requerida demonstre disposição para cumprir integralmente as obrigações pendentes.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Elaborado por:</w:t>
      </w:r>
      <w:r>
        <w:br/>
      </w:r>
      <w:r>
        <w:t xml:space="preserve">Dr. João Silva – OA 12345</w:t>
      </w:r>
      <w:r>
        <w:br/>
      </w:r>
      <w:r>
        <w:t xml:space="preserve">Dra. Maria Fernandes – OA 67890</w:t>
      </w:r>
    </w:p>
    <w:p>
      <w:pPr>
        <w:pStyle w:val="BodyText"/>
      </w:pPr>
      <w:r>
        <w:rPr>
          <w:i/>
          <w:iCs/>
        </w:rPr>
        <w:t xml:space="preserve">Revisão jurídica:</w:t>
      </w:r>
      <w:r>
        <w:br/>
      </w:r>
      <w:r>
        <w:t xml:space="preserve">Gabinete de Estratégia Processual – XYZ – Serviços de Tecnologia, Lda.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5">
    <w:nsid w:val="00A99415"/>
    <w:multiLevelType w:val="multilevel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5"/>
      <w:numFmt w:val="decimal"/>
      <w:lvlText w:val="%3."/>
      <w:lvlJc w:val="left"/>
      <w:pPr>
        <w:ind w:left="2160" w:hanging="36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5"/>
      <w:numFmt w:val="decimal"/>
      <w:lvlText w:val="%5."/>
      <w:lvlJc w:val="left"/>
      <w:pPr>
        <w:ind w:left="3600" w:hanging="360"/>
      </w:pPr>
    </w:lvl>
    <w:lvl w:ilvl="5">
      <w:start w:val="5"/>
      <w:numFmt w:val="decimal"/>
      <w:lvlText w:val="%6."/>
      <w:lvlJc w:val="left"/>
      <w:pPr>
        <w:ind w:left="4320" w:hanging="360"/>
      </w:pPr>
    </w:lvl>
    <w:lvl w:ilvl="6">
      <w:start w:val="5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%8."/>
      <w:lvlJc w:val="left"/>
      <w:pPr>
        <w:ind w:left="5760" w:hanging="360"/>
      </w:pPr>
    </w:lvl>
    <w:lvl w:ilvl="8">
      <w:start w:val="5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4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